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sz w:val="28"/>
          <w:szCs w:val="28"/>
        </w:rPr>
        <w:t xml:space="preserve">Effects of Acute Sleep Restriction on Postural Sway in Young Adults</w:t>
      </w:r>
    </w:p>
    <w:p>
      <w:pPr>
        <w:spacing w:after="60"/>
        <w:jc w:val="center"/>
      </w:pPr>
      <w:r>
        <w:rPr>
          <w:rFonts w:ascii="Times New Roman" w:cs="Times New Roman" w:eastAsia="Times New Roman" w:hAnsi="Times New Roman"/>
          <w:sz w:val="24"/>
          <w:szCs w:val="24"/>
        </w:rPr>
        <w:t xml:space="preserve">A. Student</w:t>
      </w:r>
    </w:p>
    <w:p>
      <w:pPr>
        <w:spacing w:after="360"/>
        <w:jc w:val="center"/>
      </w:pPr>
      <w:r>
        <w:rPr>
          <w:rFonts w:ascii="Times New Roman" w:cs="Times New Roman" w:eastAsia="Times New Roman" w:hAnsi="Times New Roman"/>
          <w:i/>
          <w:iCs/>
          <w:sz w:val="24"/>
          <w:szCs w:val="24"/>
        </w:rPr>
        <w:t xml:space="preserve">Department of Kinesiology, University of Somewhere</w:t>
      </w:r>
    </w:p>
    <w:p>
      <w:pPr>
        <w:spacing w:after="120" w:before="240"/>
      </w:pPr>
      <w:r>
        <w:rPr>
          <w:rFonts w:ascii="Times New Roman" w:cs="Times New Roman" w:eastAsia="Times New Roman" w:hAnsi="Times New Roman"/>
          <w:b/>
          <w:bCs/>
          <w:sz w:val="26"/>
          <w:szCs w:val="26"/>
        </w:rPr>
        <w:t xml:space="preserve">Abstract</w:t>
      </w:r>
    </w:p>
    <w:p>
      <w:pPr>
        <w:spacing w:after="240"/>
      </w:pPr>
      <w:r>
        <w:rPr>
          <w:rFonts w:ascii="Times New Roman" w:cs="Times New Roman" w:eastAsia="Times New Roman" w:hAnsi="Times New Roman"/>
          <w:sz w:val="24"/>
          <w:szCs w:val="24"/>
        </w:rPr>
        <w:t xml:space="preserve">Sleep restriction is common among university students and may impair postural control, increasing fall risk. We examined the effects of one night of sleep restriction (4 hours) on center-of-pressure (CoP) sway during quiet standing in 24 healthy young adults. Participants completed balance testing after a normal sleep night and after a sleep-restricted night in a counterbalanced, within-subjects design. Sleep restriction significantly increased CoP path length and sway area. These findings suggest that even acute, moderate sleep loss degrades postural stability.</w:t>
      </w:r>
    </w:p>
    <w:p>
      <w:pPr>
        <w:spacing w:after="120" w:before="240"/>
      </w:pPr>
      <w:r>
        <w:rPr>
          <w:rFonts w:ascii="Times New Roman" w:cs="Times New Roman" w:eastAsia="Times New Roman" w:hAnsi="Times New Roman"/>
          <w:b/>
          <w:bCs/>
          <w:sz w:val="26"/>
          <w:szCs w:val="26"/>
        </w:rPr>
        <w:t xml:space="preserve">Introduction</w:t>
      </w:r>
    </w:p>
    <w:p>
      <w:pPr>
        <w:spacing w:after="200"/>
      </w:pPr>
      <w:r>
        <w:rPr>
          <w:rFonts w:ascii="Times New Roman" w:cs="Times New Roman" w:eastAsia="Times New Roman" w:hAnsi="Times New Roman"/>
          <w:sz w:val="24"/>
          <w:szCs w:val="24"/>
        </w:rPr>
        <w:t xml:space="preserve">Adequate sleep is essential for sensorimotor function. Epidemiological studies have linked short sleep duration to increased fall risk in older adults (Cappuccio et al., 2010). However, relatively few studies have examined how acute sleep restriction affects postural control in young, healthy individuals. Given that university students frequently report sleeping fewer than 6 hours per night (Lund et al., 2010), understanding the postural consequences of sleep loss in this population is important.</w:t>
      </w:r>
    </w:p>
    <w:p>
      <w:pPr>
        <w:spacing w:after="200"/>
      </w:pPr>
      <w:r>
        <w:rPr>
          <w:rFonts w:ascii="Times New Roman" w:cs="Times New Roman" w:eastAsia="Times New Roman" w:hAnsi="Times New Roman"/>
          <w:sz w:val="24"/>
          <w:szCs w:val="24"/>
        </w:rPr>
        <w:t xml:space="preserve">Postural sway during quiet standing reflects the continuous interplay of visual, vestibular, and proprioceptive systems (Peterka, 2002). Sleep deprivation has been shown to impair each of these systems individually (Robillard et al. 2011), but the integrated effect on standing balance after partial (rather than total) sleep deprivation remains unclear.</w:t>
      </w:r>
    </w:p>
    <w:p>
      <w:pPr>
        <w:spacing w:after="120" w:before="240"/>
      </w:pPr>
      <w:r>
        <w:rPr>
          <w:rFonts w:ascii="Times New Roman" w:cs="Times New Roman" w:eastAsia="Times New Roman" w:hAnsi="Times New Roman"/>
          <w:b/>
          <w:bCs/>
          <w:sz w:val="26"/>
          <w:szCs w:val="26"/>
        </w:rPr>
        <w:t xml:space="preserve">Methods</w:t>
      </w:r>
    </w:p>
    <w:p>
      <w:pPr>
        <w:spacing w:after="80" w:before="120"/>
      </w:pPr>
      <w:r>
        <w:rPr>
          <w:rFonts w:ascii="Times New Roman" w:cs="Times New Roman" w:eastAsia="Times New Roman" w:hAnsi="Times New Roman"/>
          <w:b/>
          <w:bCs/>
          <w:i/>
          <w:iCs/>
          <w:sz w:val="24"/>
          <w:szCs w:val="24"/>
        </w:rPr>
        <w:t xml:space="preserve">Participants</w:t>
      </w:r>
    </w:p>
    <w:p>
      <w:pPr>
        <w:spacing w:after="200"/>
      </w:pPr>
      <w:r>
        <w:rPr>
          <w:rFonts w:ascii="Times New Roman" w:cs="Times New Roman" w:eastAsia="Times New Roman" w:hAnsi="Times New Roman"/>
          <w:sz w:val="24"/>
          <w:szCs w:val="24"/>
        </w:rPr>
        <w:t xml:space="preserve">Twenty-four healthy young adults (13 female, 11 male; mean age = 21.3 years, SD = 2.1) were recruited from the university community. Exclusion criteria included diagnosed sleep disorders, vestibular disorders, lower-extremity musculoskeletal injury in the past 6 months, and use of medications known to affect balance. The study was approved by the institutional research ethics board and all participants provided written informed consent.</w:t>
      </w:r>
    </w:p>
    <w:p>
      <w:pPr>
        <w:spacing w:after="80" w:before="120"/>
      </w:pPr>
      <w:r>
        <w:rPr>
          <w:rFonts w:ascii="Times New Roman" w:cs="Times New Roman" w:eastAsia="Times New Roman" w:hAnsi="Times New Roman"/>
          <w:b/>
          <w:bCs/>
          <w:i/>
          <w:iCs/>
          <w:sz w:val="24"/>
          <w:szCs w:val="24"/>
        </w:rPr>
        <w:t xml:space="preserve">Procedure</w:t>
      </w:r>
    </w:p>
    <w:p>
      <w:pPr>
        <w:spacing w:after="200"/>
      </w:pPr>
      <w:r>
        <w:rPr>
          <w:rFonts w:ascii="Times New Roman" w:cs="Times New Roman" w:eastAsia="Times New Roman" w:hAnsi="Times New Roman"/>
          <w:sz w:val="24"/>
          <w:szCs w:val="24"/>
        </w:rPr>
        <w:t xml:space="preserve">Participants attended two morning testing sessions (08:00–09:00) separated by at least one week, in a counterbalanced, within-subjects design. In the Normal Sleep condition, participants were instructed to sleep their habitual amount (verified by wrist actigraphy; mean = 7.4 h, SD = 0.6). In the Sleep Restriction condition, participants were restricted to a 4-hour sleep opportunity (02:00–06:00), monitored by actigraphy. At each session, participants completed three 60-second quiet standing trials on a force plate (AMTI AccuGait, 100 Hz) with eyes open, feet shoulder-width apart, arms at sides.</w:t>
      </w:r>
    </w:p>
    <w:p>
      <w:pPr>
        <w:spacing w:after="80" w:before="120"/>
      </w:pPr>
      <w:r>
        <w:rPr>
          <w:rFonts w:ascii="Times New Roman" w:cs="Times New Roman" w:eastAsia="Times New Roman" w:hAnsi="Times New Roman"/>
          <w:b/>
          <w:bCs/>
          <w:i/>
          <w:iCs/>
          <w:sz w:val="24"/>
          <w:szCs w:val="24"/>
        </w:rPr>
        <w:t xml:space="preserve">Data Analysis</w:t>
      </w:r>
    </w:p>
    <w:p>
      <w:pPr>
        <w:spacing w:after="120"/>
      </w:pPr>
      <w:r>
        <w:rPr>
          <w:rFonts w:ascii="Times New Roman" w:cs="Times New Roman" w:eastAsia="Times New Roman" w:hAnsi="Times New Roman"/>
          <w:sz w:val="24"/>
          <w:szCs w:val="24"/>
        </w:rPr>
        <w:t xml:space="preserve">Center-of-pressure (CoP) data were low-pass filtered at 10 Hz (4th-order Butterworth). We computed two primary outcome measures: CoP path length (total distance traveled by the CoP) and 95% confidence ellipse sway area (Prieto et al., 1996). Values were averaged across the three trials for each condition.</w:t>
      </w:r>
    </w:p>
    <w:p>
      <w:pPr>
        <w:spacing w:after="120"/>
      </w:pPr>
      <w:r>
        <w:rPr>
          <w:rFonts w:ascii="Times New Roman" w:cs="Times New Roman" w:eastAsia="Times New Roman" w:hAnsi="Times New Roman"/>
          <w:sz w:val="24"/>
          <w:szCs w:val="24"/>
        </w:rPr>
        <w:t xml:space="preserve">We compared conditions using paired-samples t-tests. Effect sizes were computed as Cohen’s d:</w:t>
      </w:r>
    </w:p>
    <w:p>
      <w:pPr>
        <w:spacing w:after="160" w:before="160"/>
        <w:jc w:val="center"/>
      </w:pPr>
      <w:r>
        <w:rPr>
          <w:rFonts w:ascii="Courier New" w:cs="Courier New" w:eastAsia="Courier New" w:hAnsi="Courier New"/>
          <w:i/>
          <w:iCs/>
          <w:sz w:val="24"/>
          <w:szCs w:val="24"/>
        </w:rPr>
        <w:t xml:space="preserve">d = (M1 - M2) / SDpooled</w:t>
      </w:r>
    </w:p>
    <w:p>
      <w:pPr>
        <w:spacing w:after="200"/>
      </w:pPr>
      <w:r>
        <w:rPr>
          <w:rFonts w:ascii="Times New Roman" w:cs="Times New Roman" w:eastAsia="Times New Roman" w:hAnsi="Times New Roman"/>
          <w:sz w:val="24"/>
          <w:szCs w:val="24"/>
        </w:rPr>
        <w:t xml:space="preserve">where SDpooled = sqrt(((SD1^2 + SD2^2) / 2)). The significance threshold was set at α = 0.05.</w:t>
      </w:r>
    </w:p>
    <w:p>
      <w:pPr>
        <w:spacing w:after="120" w:before="240"/>
      </w:pPr>
      <w:r>
        <w:rPr>
          <w:rFonts w:ascii="Times New Roman" w:cs="Times New Roman" w:eastAsia="Times New Roman" w:hAnsi="Times New Roman"/>
          <w:b/>
          <w:bCs/>
          <w:sz w:val="26"/>
          <w:szCs w:val="26"/>
        </w:rPr>
        <w:t xml:space="preserve">Results</w:t>
      </w:r>
    </w:p>
    <w:p>
      <w:pPr>
        <w:spacing w:after="200"/>
      </w:pPr>
      <w:r>
        <w:rPr>
          <w:rFonts w:ascii="Times New Roman" w:cs="Times New Roman" w:eastAsia="Times New Roman" w:hAnsi="Times New Roman"/>
          <w:sz w:val="24"/>
          <w:szCs w:val="24"/>
        </w:rPr>
        <w:t xml:space="preserve">Descriptive statistics are presented in Table 1. Sleep restriction significantly increased CoP path length, t(23) = 3.41, p = .002, d = 0.70, and 95% ellipse sway area, t(23) = 2.89, p = .008, d = 0.59.</w:t>
      </w:r>
    </w:p>
    <w:p>
      <w:pPr>
        <w:spacing w:after="80" w:before="120"/>
        <w:jc w:val="center"/>
      </w:pPr>
      <w:r>
        <w:rPr>
          <w:rFonts w:ascii="Times New Roman" w:cs="Times New Roman" w:eastAsia="Times New Roman" w:hAnsi="Times New Roman"/>
          <w:b/>
          <w:bCs/>
          <w:sz w:val="22"/>
          <w:szCs w:val="22"/>
        </w:rPr>
        <w:t xml:space="preserve">Table 1. </w:t>
      </w:r>
      <w:r>
        <w:rPr>
          <w:rFonts w:ascii="Times New Roman" w:cs="Times New Roman" w:eastAsia="Times New Roman" w:hAnsi="Times New Roman"/>
          <w:sz w:val="22"/>
          <w:szCs w:val="22"/>
        </w:rPr>
        <w:t xml:space="preserve">Postural sway measures by condition. Values are mean (SD).</w:t>
      </w:r>
    </w:p>
    <w:tbl>
      <w:tblPr>
        <w:tblW w:type="dxa" w:w="7020"/>
        <w:jc w:val="center"/>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tblGrid>
      <w:tr>
        <w:tc>
          <w:tcPr>
            <w:tcW w:type="dxa" w:w="2340"/>
            <w:tcBorders>
              <w:top w:val="single" w:color="000000" w:sz="1"/>
              <w:left w:val="single" w:color="000000" w:sz="1"/>
              <w:bottom w:val="single" w:color="000000" w:sz="1"/>
              <w:right w:val="single" w:color="000000" w:sz="1"/>
            </w:tcBorders>
            <w:shd w:fill="D9D9D9" w:val="clear"/>
            <w:tcMar>
              <w:top w:type="dxa" w:w="60"/>
              <w:left w:type="dxa" w:w="100"/>
              <w:bottom w:type="dxa" w:w="60"/>
              <w:right w:type="dxa" w:w="100"/>
            </w:tcMar>
          </w:tcPr>
          <w:p>
            <w:pPr>
              <w:jc w:val="center"/>
            </w:pPr>
            <w:r>
              <w:rPr>
                <w:rFonts w:ascii="Times New Roman" w:cs="Times New Roman" w:eastAsia="Times New Roman" w:hAnsi="Times New Roman"/>
                <w:b/>
                <w:bCs/>
                <w:sz w:val="22"/>
                <w:szCs w:val="22"/>
              </w:rPr>
              <w:t xml:space="preserve">Measure</w:t>
            </w:r>
          </w:p>
        </w:tc>
        <w:tc>
          <w:tcPr>
            <w:tcW w:type="dxa" w:w="2340"/>
            <w:tcBorders>
              <w:top w:val="single" w:color="000000" w:sz="1"/>
              <w:left w:val="single" w:color="000000" w:sz="1"/>
              <w:bottom w:val="single" w:color="000000" w:sz="1"/>
              <w:right w:val="single" w:color="000000" w:sz="1"/>
            </w:tcBorders>
            <w:shd w:fill="D9D9D9" w:val="clear"/>
            <w:tcMar>
              <w:top w:type="dxa" w:w="60"/>
              <w:left w:type="dxa" w:w="100"/>
              <w:bottom w:type="dxa" w:w="60"/>
              <w:right w:type="dxa" w:w="100"/>
            </w:tcMar>
          </w:tcPr>
          <w:p>
            <w:pPr>
              <w:jc w:val="center"/>
            </w:pPr>
            <w:r>
              <w:rPr>
                <w:rFonts w:ascii="Times New Roman" w:cs="Times New Roman" w:eastAsia="Times New Roman" w:hAnsi="Times New Roman"/>
                <w:b/>
                <w:bCs/>
                <w:sz w:val="22"/>
                <w:szCs w:val="22"/>
              </w:rPr>
              <w:t xml:space="preserve">Normal Sleep</w:t>
            </w:r>
          </w:p>
        </w:tc>
        <w:tc>
          <w:tcPr>
            <w:tcW w:type="dxa" w:w="2340"/>
            <w:tcBorders>
              <w:top w:val="single" w:color="000000" w:sz="1"/>
              <w:left w:val="single" w:color="000000" w:sz="1"/>
              <w:bottom w:val="single" w:color="000000" w:sz="1"/>
              <w:right w:val="single" w:color="000000" w:sz="1"/>
            </w:tcBorders>
            <w:shd w:fill="D9D9D9" w:val="clear"/>
            <w:tcMar>
              <w:top w:type="dxa" w:w="60"/>
              <w:left w:type="dxa" w:w="100"/>
              <w:bottom w:type="dxa" w:w="60"/>
              <w:right w:type="dxa" w:w="100"/>
            </w:tcMar>
          </w:tcPr>
          <w:p>
            <w:pPr>
              <w:jc w:val="center"/>
            </w:pPr>
            <w:r>
              <w:rPr>
                <w:rFonts w:ascii="Times New Roman" w:cs="Times New Roman" w:eastAsia="Times New Roman" w:hAnsi="Times New Roman"/>
                <w:b/>
                <w:bCs/>
                <w:sz w:val="22"/>
                <w:szCs w:val="22"/>
              </w:rPr>
              <w:t xml:space="preserve">Sleep Restricted</w:t>
            </w:r>
          </w:p>
        </w:tc>
      </w:tr>
      <w:tr>
        <w:tc>
          <w:tcPr>
            <w:tcW w:type="dxa" w:w="2340"/>
            <w:tcBorders>
              <w:top w:val="single" w:color="000000" w:sz="1"/>
              <w:left w:val="single" w:color="000000" w:sz="1"/>
              <w:bottom w:val="single" w:color="000000" w:sz="1"/>
              <w:right w:val="single" w:color="000000" w:sz="1"/>
            </w:tcBorders>
            <w:tcMar>
              <w:top w:type="dxa" w:w="60"/>
              <w:left w:type="dxa" w:w="100"/>
              <w:bottom w:type="dxa" w:w="60"/>
              <w:right w:type="dxa" w:w="100"/>
            </w:tcMar>
          </w:tcPr>
          <w:p>
            <w:pPr>
              <w:jc w:val="left"/>
            </w:pPr>
            <w:r>
              <w:rPr>
                <w:rFonts w:ascii="Times New Roman" w:cs="Times New Roman" w:eastAsia="Times New Roman" w:hAnsi="Times New Roman"/>
                <w:b w:val="false"/>
                <w:bCs w:val="false"/>
                <w:sz w:val="22"/>
                <w:szCs w:val="22"/>
              </w:rPr>
              <w:t xml:space="preserve">CoP Path Length (mm)</w:t>
            </w:r>
          </w:p>
        </w:tc>
        <w:tc>
          <w:tcPr>
            <w:tcW w:type="dxa" w:w="2340"/>
            <w:tcBorders>
              <w:top w:val="single" w:color="000000" w:sz="1"/>
              <w:left w:val="single" w:color="000000" w:sz="1"/>
              <w:bottom w:val="single" w:color="000000" w:sz="1"/>
              <w:right w:val="single" w:color="000000" w:sz="1"/>
            </w:tcBorders>
            <w:tcMar>
              <w:top w:type="dxa" w:w="60"/>
              <w:left w:type="dxa" w:w="100"/>
              <w:bottom w:type="dxa" w:w="60"/>
              <w:right w:type="dxa" w:w="100"/>
            </w:tcMar>
          </w:tcPr>
          <w:p>
            <w:pPr>
              <w:jc w:val="center"/>
            </w:pPr>
            <w:r>
              <w:rPr>
                <w:rFonts w:ascii="Times New Roman" w:cs="Times New Roman" w:eastAsia="Times New Roman" w:hAnsi="Times New Roman"/>
                <w:b w:val="false"/>
                <w:bCs w:val="false"/>
                <w:sz w:val="22"/>
                <w:szCs w:val="22"/>
              </w:rPr>
              <w:t xml:space="preserve">412.3 (58.7)</w:t>
            </w:r>
          </w:p>
        </w:tc>
        <w:tc>
          <w:tcPr>
            <w:tcW w:type="dxa" w:w="2340"/>
            <w:tcBorders>
              <w:top w:val="single" w:color="000000" w:sz="1"/>
              <w:left w:val="single" w:color="000000" w:sz="1"/>
              <w:bottom w:val="single" w:color="000000" w:sz="1"/>
              <w:right w:val="single" w:color="000000" w:sz="1"/>
            </w:tcBorders>
            <w:tcMar>
              <w:top w:type="dxa" w:w="60"/>
              <w:left w:type="dxa" w:w="100"/>
              <w:bottom w:type="dxa" w:w="60"/>
              <w:right w:type="dxa" w:w="100"/>
            </w:tcMar>
          </w:tcPr>
          <w:p>
            <w:pPr>
              <w:jc w:val="center"/>
            </w:pPr>
            <w:r>
              <w:rPr>
                <w:rFonts w:ascii="Times New Roman" w:cs="Times New Roman" w:eastAsia="Times New Roman" w:hAnsi="Times New Roman"/>
                <w:b w:val="false"/>
                <w:bCs w:val="false"/>
                <w:sz w:val="22"/>
                <w:szCs w:val="22"/>
              </w:rPr>
              <w:t xml:space="preserve">453.1 (62.4)</w:t>
            </w:r>
          </w:p>
        </w:tc>
      </w:tr>
      <w:tr>
        <w:tc>
          <w:tcPr>
            <w:tcW w:type="dxa" w:w="2340"/>
            <w:tcBorders>
              <w:top w:val="single" w:color="000000" w:sz="1"/>
              <w:left w:val="single" w:color="000000" w:sz="1"/>
              <w:bottom w:val="single" w:color="000000" w:sz="1"/>
              <w:right w:val="single" w:color="000000" w:sz="1"/>
            </w:tcBorders>
            <w:tcMar>
              <w:top w:type="dxa" w:w="60"/>
              <w:left w:type="dxa" w:w="100"/>
              <w:bottom w:type="dxa" w:w="60"/>
              <w:right w:type="dxa" w:w="100"/>
            </w:tcMar>
          </w:tcPr>
          <w:p>
            <w:pPr>
              <w:jc w:val="left"/>
            </w:pPr>
            <w:r>
              <w:rPr>
                <w:rFonts w:ascii="Times New Roman" w:cs="Times New Roman" w:eastAsia="Times New Roman" w:hAnsi="Times New Roman"/>
                <w:b w:val="false"/>
                <w:bCs w:val="false"/>
                <w:sz w:val="22"/>
                <w:szCs w:val="22"/>
              </w:rPr>
              <w:t xml:space="preserve">95% Ellipse Area (mm²)</w:t>
            </w:r>
          </w:p>
        </w:tc>
        <w:tc>
          <w:tcPr>
            <w:tcW w:type="dxa" w:w="2340"/>
            <w:tcBorders>
              <w:top w:val="single" w:color="000000" w:sz="1"/>
              <w:left w:val="single" w:color="000000" w:sz="1"/>
              <w:bottom w:val="single" w:color="000000" w:sz="1"/>
              <w:right w:val="single" w:color="000000" w:sz="1"/>
            </w:tcBorders>
            <w:tcMar>
              <w:top w:type="dxa" w:w="60"/>
              <w:left w:type="dxa" w:w="100"/>
              <w:bottom w:type="dxa" w:w="60"/>
              <w:right w:type="dxa" w:w="100"/>
            </w:tcMar>
          </w:tcPr>
          <w:p>
            <w:pPr>
              <w:jc w:val="center"/>
            </w:pPr>
            <w:r>
              <w:rPr>
                <w:rFonts w:ascii="Times New Roman" w:cs="Times New Roman" w:eastAsia="Times New Roman" w:hAnsi="Times New Roman"/>
                <w:b w:val="false"/>
                <w:bCs w:val="false"/>
                <w:sz w:val="22"/>
                <w:szCs w:val="22"/>
              </w:rPr>
              <w:t xml:space="preserve">189.4 (41.2)</w:t>
            </w:r>
          </w:p>
        </w:tc>
        <w:tc>
          <w:tcPr>
            <w:tcW w:type="dxa" w:w="2340"/>
            <w:tcBorders>
              <w:top w:val="single" w:color="000000" w:sz="1"/>
              <w:left w:val="single" w:color="000000" w:sz="1"/>
              <w:bottom w:val="single" w:color="000000" w:sz="1"/>
              <w:right w:val="single" w:color="000000" w:sz="1"/>
            </w:tcBorders>
            <w:tcMar>
              <w:top w:type="dxa" w:w="60"/>
              <w:left w:type="dxa" w:w="100"/>
              <w:bottom w:type="dxa" w:w="60"/>
              <w:right w:type="dxa" w:w="100"/>
            </w:tcMar>
          </w:tcPr>
          <w:p>
            <w:pPr>
              <w:jc w:val="center"/>
            </w:pPr>
            <w:r>
              <w:rPr>
                <w:rFonts w:ascii="Times New Roman" w:cs="Times New Roman" w:eastAsia="Times New Roman" w:hAnsi="Times New Roman"/>
                <w:b w:val="false"/>
                <w:bCs w:val="false"/>
                <w:sz w:val="22"/>
                <w:szCs w:val="22"/>
              </w:rPr>
              <w:t xml:space="preserve">214.8 (45.6)</w:t>
            </w:r>
          </w:p>
        </w:tc>
      </w:tr>
    </w:tbl>
    <w:p>
      <w:pPr>
        <w:spacing w:after="200"/>
      </w:pPr>
    </w:p>
    <w:p>
      <w:pPr>
        <w:spacing w:after="120" w:before="240"/>
      </w:pPr>
      <w:r>
        <w:rPr>
          <w:rFonts w:ascii="Times New Roman" w:cs="Times New Roman" w:eastAsia="Times New Roman" w:hAnsi="Times New Roman"/>
          <w:b/>
          <w:bCs/>
          <w:sz w:val="26"/>
          <w:szCs w:val="26"/>
        </w:rPr>
        <w:t xml:space="preserve">Discussion</w:t>
      </w:r>
    </w:p>
    <w:p>
      <w:pPr>
        <w:spacing w:after="200"/>
      </w:pPr>
      <w:r>
        <w:rPr>
          <w:rFonts w:ascii="Times New Roman" w:cs="Times New Roman" w:eastAsia="Times New Roman" w:hAnsi="Times New Roman"/>
          <w:sz w:val="24"/>
          <w:szCs w:val="24"/>
        </w:rPr>
        <w:t xml:space="preserve">Our results demonstrate that a single night of sleep restriction to 4 hours significantly impairs postural stability in healthy young adults. Both CoP path length and sway area increased, with moderate effect sizes (d = 0.59–0.70). These findings are consistent with Robillard et al. (2011), who reported increased sway after total sleep deprivation, and extend their work by showing that even partial sleep loss is sufficient to degrade balance.</w:t>
      </w:r>
    </w:p>
    <w:p>
      <w:pPr>
        <w:spacing w:after="200"/>
      </w:pPr>
      <w:r>
        <w:rPr>
          <w:rFonts w:ascii="Times New Roman" w:cs="Times New Roman" w:eastAsia="Times New Roman" w:hAnsi="Times New Roman"/>
          <w:sz w:val="24"/>
          <w:szCs w:val="24"/>
        </w:rPr>
        <w:t xml:space="preserve">The practical implications are notable. Many university students regularly sleep fewer than 6 hours (Lund et al., 2010), and impaired postural control may increase injury risk during athletic activities and daily life. Future studies should examine whether habitual short sleepers show adaptation or cumulative degradation in postural control over time.</w:t>
      </w:r>
    </w:p>
    <w:p>
      <w:pPr>
        <w:spacing w:after="120" w:before="360"/>
      </w:pPr>
      <w:r>
        <w:rPr>
          <w:rFonts w:ascii="Times New Roman" w:cs="Times New Roman" w:eastAsia="Times New Roman" w:hAnsi="Times New Roman"/>
          <w:b/>
          <w:bCs/>
          <w:sz w:val="26"/>
          <w:szCs w:val="26"/>
        </w:rPr>
        <w:t xml:space="preserve">References</w:t>
      </w:r>
    </w:p>
    <w:p>
      <w:pPr>
        <w:spacing w:after="120"/>
        <w:ind w:left="720" w:hanging="720"/>
      </w:pPr>
      <w:r>
        <w:rPr>
          <w:rFonts w:ascii="Times New Roman" w:cs="Times New Roman" w:eastAsia="Times New Roman" w:hAnsi="Times New Roman"/>
          <w:sz w:val="22"/>
          <w:szCs w:val="22"/>
        </w:rPr>
        <w:t xml:space="preserve">Cappuccio, F.P., D’Elia, L., Strazzullo, P., &amp; Miller, M.A. (2010). Sleep duration and all-cause mortality: a systematic review and meta-analysis of prospective studies. Sleep, 33(5), 585-592.</w:t>
      </w:r>
    </w:p>
    <w:p>
      <w:pPr>
        <w:spacing w:after="120"/>
        <w:ind w:left="720" w:hanging="720"/>
      </w:pPr>
      <w:r>
        <w:rPr>
          <w:rFonts w:ascii="Times New Roman" w:cs="Times New Roman" w:eastAsia="Times New Roman" w:hAnsi="Times New Roman"/>
          <w:sz w:val="22"/>
          <w:szCs w:val="22"/>
        </w:rPr>
        <w:t xml:space="preserve">Lund, H. G., Reider, B. D., Whiting, A. B., &amp; Prichard, J. R. (2010). Sleep patterns and predictors of disturbed sleep in a large population of college students. </w:t>
      </w:r>
      <w:r>
        <w:rPr>
          <w:rFonts w:ascii="Times New Roman" w:cs="Times New Roman" w:eastAsia="Times New Roman" w:hAnsi="Times New Roman"/>
          <w:i/>
          <w:iCs/>
          <w:sz w:val="22"/>
          <w:szCs w:val="22"/>
        </w:rPr>
        <w:t xml:space="preserve">Journal of Adolescent Health, 46</w:t>
      </w:r>
      <w:r>
        <w:rPr>
          <w:rFonts w:ascii="Times New Roman" w:cs="Times New Roman" w:eastAsia="Times New Roman" w:hAnsi="Times New Roman"/>
          <w:sz w:val="22"/>
          <w:szCs w:val="22"/>
        </w:rPr>
        <w:t xml:space="preserve">(2), 124–130. https://doi.org/10.1016/j.jadohealth.2009.06.016</w:t>
      </w:r>
    </w:p>
    <w:p>
      <w:pPr>
        <w:spacing w:after="120"/>
      </w:pPr>
      <w:r>
        <w:rPr>
          <w:rFonts w:ascii="Times New Roman" w:cs="Times New Roman" w:eastAsia="Times New Roman" w:hAnsi="Times New Roman"/>
          <w:sz w:val="22"/>
          <w:szCs w:val="22"/>
        </w:rPr>
        <w:t xml:space="preserve">Peterka, R. J. (2002). Sensorimotor integration in human postural control. </w:t>
      </w:r>
      <w:r>
        <w:rPr>
          <w:rFonts w:ascii="Times New Roman" w:cs="Times New Roman" w:eastAsia="Times New Roman" w:hAnsi="Times New Roman"/>
          <w:i/>
          <w:iCs/>
          <w:sz w:val="22"/>
          <w:szCs w:val="22"/>
        </w:rPr>
        <w:t xml:space="preserve">Journal of Neurophysiology</w:t>
      </w:r>
      <w:r>
        <w:rPr>
          <w:rFonts w:ascii="Times New Roman" w:cs="Times New Roman" w:eastAsia="Times New Roman" w:hAnsi="Times New Roman"/>
          <w:sz w:val="22"/>
          <w:szCs w:val="22"/>
        </w:rPr>
        <w:t xml:space="preserve">, 88(3), 1097-1118</w:t>
      </w:r>
    </w:p>
    <w:p>
      <w:pPr>
        <w:spacing w:after="120"/>
        <w:ind w:left="720" w:hanging="720"/>
      </w:pPr>
      <w:r>
        <w:rPr>
          <w:rFonts w:ascii="Times New Roman" w:cs="Times New Roman" w:eastAsia="Times New Roman" w:hAnsi="Times New Roman"/>
          <w:sz w:val="22"/>
          <w:szCs w:val="22"/>
        </w:rPr>
        <w:t xml:space="preserve">Prieto TE, Myklebust JB, Hoffmann RG, Lovett EG, Myklebust BM. Measures of postural steadiness: differences between healthy young and elderly adults. IEEE Trans Biomed Eng. 1996;43(9):956-966.</w:t>
      </w:r>
    </w:p>
    <w:p>
      <w:pPr>
        <w:spacing w:after="120"/>
        <w:ind w:left="720" w:hanging="720"/>
      </w:pPr>
      <w:r>
        <w:rPr>
          <w:rFonts w:ascii="Times New Roman" w:cs="Times New Roman" w:eastAsia="Times New Roman" w:hAnsi="Times New Roman"/>
          <w:sz w:val="22"/>
          <w:szCs w:val="22"/>
        </w:rPr>
        <w:t xml:space="preserve">Robillard, R., Prince, F., Bherer, L., &amp; Bherer, L. (2011). Aging worsens the effects of sleep deprivation on postural control. </w:t>
      </w:r>
      <w:r>
        <w:rPr>
          <w:rFonts w:ascii="Times New Roman" w:cs="Times New Roman" w:eastAsia="Times New Roman" w:hAnsi="Times New Roman"/>
          <w:i/>
          <w:iCs/>
          <w:sz w:val="22"/>
          <w:szCs w:val="22"/>
        </w:rPr>
        <w:t xml:space="preserve">PLOS ONE, 6</w:t>
      </w:r>
      <w:r>
        <w:rPr>
          <w:rFonts w:ascii="Times New Roman" w:cs="Times New Roman" w:eastAsia="Times New Roman" w:hAnsi="Times New Roman"/>
          <w:sz w:val="22"/>
          <w:szCs w:val="22"/>
        </w:rPr>
        <w:t xml:space="preserve">(12), e28731</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2026-02-27T12:51:34.623Z</dcterms:created>
  <dcterms:modified xsi:type="dcterms:W3CDTF">2026-02-27T12:51:34.623Z</dcterms:modified>
</cp:coreProperties>
</file>

<file path=docProps/custom.xml><?xml version="1.0" encoding="utf-8"?>
<Properties xmlns="http://schemas.openxmlformats.org/officeDocument/2006/custom-properties" xmlns:vt="http://schemas.openxmlformats.org/officeDocument/2006/docPropsVTypes"/>
</file>